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86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6E3EA2B8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离心现象</w:t>
      </w:r>
    </w:p>
    <w:p w14:paraId="34E96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1.火车转弯</w:t>
      </w:r>
    </w:p>
    <w:p w14:paraId="52E2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（1）如果转弯处内外轨一样高，轨道对轮缘的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提供火车转弯的向心力。</w:t>
      </w:r>
    </w:p>
    <w:p w14:paraId="1EC52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（2）如果外轨高于内轨，轨道平面与水平面的夹角为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25" o:spt="75" type="#_x0000_t75" style="height:13.95pt;width:1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，如图所示，转弯时由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支持力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和</w:t>
      </w:r>
    </w:p>
    <w:p w14:paraId="1E4FC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的合力提供向心力。</w:t>
      </w:r>
    </w:p>
    <w:p w14:paraId="11DD9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33020</wp:posOffset>
            </wp:positionV>
            <wp:extent cx="1259840" cy="1076960"/>
            <wp:effectExtent l="0" t="0" r="16510" b="8890"/>
            <wp:wrapSquare wrapText="bothSides"/>
            <wp:docPr id="44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（3）水平方向：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6" o:spt="75" type="#_x0000_t75" style="height:33pt;width:7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；</w:t>
      </w:r>
    </w:p>
    <w:p w14:paraId="24DA0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竖直方向：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7" o:spt="75" type="#_x0000_t75" style="height:18pt;width:8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；</w:t>
      </w:r>
    </w:p>
    <w:p w14:paraId="1AF87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8" o:spt="75" type="#_x0000_t75" style="height:20pt;width:5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A1D3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（4）①当火车的行驶速度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时，内外轨对轮缘均无弹力；</w:t>
      </w:r>
    </w:p>
    <w:p w14:paraId="4F1D6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外轨道对轮缘有弹力；</w:t>
      </w:r>
    </w:p>
    <w:p w14:paraId="1D354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③当火车的行驶速度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内轨道对轮缘有弹力。</w:t>
      </w:r>
      <w:bookmarkStart w:id="0" w:name="_GoBack"/>
      <w:bookmarkEnd w:id="0"/>
    </w:p>
    <w:p w14:paraId="0E0BC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（以上三个空均填“&gt;”“&lt;”或“=”）</w:t>
      </w:r>
    </w:p>
    <w:p w14:paraId="0E6AE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2.汽车过拱形桥</w:t>
      </w:r>
    </w:p>
    <w:p w14:paraId="53223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的汽车以速度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过拱桥的两种情况对比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3270"/>
        <w:gridCol w:w="3188"/>
      </w:tblGrid>
      <w:tr w14:paraId="4562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3B62B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模型</w:t>
            </w:r>
          </w:p>
        </w:tc>
        <w:tc>
          <w:tcPr>
            <w:tcW w:w="3270" w:type="dxa"/>
            <w:vAlign w:val="center"/>
          </w:tcPr>
          <w:p w14:paraId="7CC32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过半径为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的凸桥最高点</w:t>
            </w:r>
          </w:p>
        </w:tc>
        <w:tc>
          <w:tcPr>
            <w:tcW w:w="3188" w:type="dxa"/>
            <w:vAlign w:val="center"/>
          </w:tcPr>
          <w:p w14:paraId="560CF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过半径为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R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的凹桥最高点</w:t>
            </w:r>
          </w:p>
        </w:tc>
      </w:tr>
      <w:tr w14:paraId="4B13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1526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受力分析，向心力的来源</w:t>
            </w:r>
          </w:p>
        </w:tc>
        <w:tc>
          <w:tcPr>
            <w:tcW w:w="3270" w:type="dxa"/>
            <w:vAlign w:val="center"/>
          </w:tcPr>
          <w:p w14:paraId="658A5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21715" cy="927735"/>
                  <wp:effectExtent l="0" t="0" r="6985" b="5715"/>
                  <wp:docPr id="42" name="图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14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15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8" w:type="dxa"/>
            <w:vAlign w:val="center"/>
          </w:tcPr>
          <w:p w14:paraId="0206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43610" cy="908050"/>
                  <wp:effectExtent l="0" t="0" r="8890" b="6350"/>
                  <wp:docPr id="43" name="图片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14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FAC4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630D6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规定向心力方向为正方向，用牛顿第二定律列方程</w:t>
            </w:r>
          </w:p>
        </w:tc>
        <w:tc>
          <w:tcPr>
            <w:tcW w:w="3270" w:type="dxa"/>
            <w:vAlign w:val="center"/>
          </w:tcPr>
          <w:p w14:paraId="24540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none"/>
                <w:lang w:val="en-US" w:eastAsia="zh-CN"/>
              </w:rPr>
              <w:object>
                <v:shape id="_x0000_i1029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3188" w:type="dxa"/>
            <w:vAlign w:val="center"/>
          </w:tcPr>
          <w:p w14:paraId="587F3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none"/>
                <w:lang w:val="en-US" w:eastAsia="zh-CN"/>
              </w:rPr>
              <w:object>
                <v:shape id="_x0000_i1030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8">
                  <o:LockedField>false</o:LockedField>
                </o:OLEObject>
              </w:object>
            </w:r>
          </w:p>
        </w:tc>
      </w:tr>
      <w:tr w14:paraId="724B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715A3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牛顿第三定律</w:t>
            </w:r>
          </w:p>
        </w:tc>
        <w:tc>
          <w:tcPr>
            <w:tcW w:w="3270" w:type="dxa"/>
            <w:vAlign w:val="center"/>
          </w:tcPr>
          <w:p w14:paraId="34C07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single"/>
                <w:lang w:val="en-US" w:eastAsia="zh-CN"/>
              </w:rPr>
              <w:object>
                <v:shape id="_x0000_i1031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总小于</w:t>
            </w:r>
            <w:r>
              <w:rPr>
                <w:rFonts w:hint="eastAsia" w:ascii="Times New Roman" w:hAnsi="Times New Roman" w:cs="Times New Roman"/>
                <w:i/>
                <w:iCs/>
                <w:color w:val="auto"/>
                <w:u w:val="none"/>
                <w:lang w:val="en-US" w:eastAsia="zh-CN"/>
              </w:rPr>
              <w:t>mg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，处于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失重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状态</w:t>
            </w:r>
          </w:p>
        </w:tc>
        <w:tc>
          <w:tcPr>
            <w:tcW w:w="3188" w:type="dxa"/>
            <w:vAlign w:val="center"/>
          </w:tcPr>
          <w:p w14:paraId="7CED3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mg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default" w:ascii="Times New Roman" w:hAnsi="Times New Roman" w:cs="Times New Roman"/>
                <w:color w:val="FF0000"/>
                <w:position w:val="-24"/>
                <w:u w:val="single"/>
                <w:lang w:val="en-US" w:eastAsia="zh-CN"/>
              </w:rPr>
              <w:object>
                <v:shape id="_x0000_i1032" o:spt="75" type="#_x0000_t75" style="height:33pt;width:2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总大于</w:t>
            </w:r>
            <w:r>
              <w:rPr>
                <w:rFonts w:hint="eastAsia" w:ascii="Times New Roman" w:hAnsi="Times New Roman" w:cs="Times New Roman"/>
                <w:i/>
                <w:iCs/>
                <w:color w:val="auto"/>
                <w:u w:val="none"/>
                <w:lang w:val="en-US" w:eastAsia="zh-CN"/>
              </w:rPr>
              <w:t>mg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，处于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超重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状态</w:t>
            </w:r>
          </w:p>
        </w:tc>
      </w:tr>
      <w:tr w14:paraId="32AED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4" w:type="dxa"/>
            <w:vAlign w:val="center"/>
          </w:tcPr>
          <w:p w14:paraId="09719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讨论</w:t>
            </w:r>
          </w:p>
        </w:tc>
        <w:tc>
          <w:tcPr>
            <w:tcW w:w="3270" w:type="dxa"/>
            <w:vAlign w:val="center"/>
          </w:tcPr>
          <w:p w14:paraId="27A11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；当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position w:val="-12"/>
                <w:u w:val="single"/>
                <w:lang w:val="en-US" w:eastAsia="zh-CN"/>
              </w:rPr>
              <w:object>
                <v:shape id="_x0000_i1033" o:spt="75" type="#_x0000_t75" style="height:20pt;width:24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cs="Times New Roman"/>
                <w:color w:val="auto"/>
                <w:u w:val="single"/>
                <w:lang w:val="en-US" w:eastAsia="zh-CN"/>
              </w:rPr>
              <w:t xml:space="preserve">  </w:t>
            </w:r>
          </w:p>
          <w:p w14:paraId="0B5CC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u w:val="none"/>
                <w:lang w:val="en-US" w:eastAsia="zh-CN"/>
              </w:rPr>
              <w:t>如果汽车的速度大于或等于这一速度，汽车将会在最高点脱离桥面</w:t>
            </w:r>
          </w:p>
        </w:tc>
        <w:tc>
          <w:tcPr>
            <w:tcW w:w="3188" w:type="dxa"/>
            <w:vAlign w:val="center"/>
          </w:tcPr>
          <w:p w14:paraId="09E33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增大</w:t>
            </w:r>
          </w:p>
        </w:tc>
      </w:tr>
    </w:tbl>
    <w:p w14:paraId="0D311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3.离心运动</w:t>
      </w:r>
    </w:p>
    <w:p w14:paraId="1265F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（1）定义：做匀速圆周运动的物体，在所受的合外力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突然消失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或者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不足以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提供圆周运动所需的向心力的情况下，就做逐渐远离圆心的运动。</w:t>
      </w:r>
    </w:p>
    <w:p w14:paraId="242DD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（2）应用：离心干燥器、洗衣机的脱水筒等；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（3）防止：转动的砂轮、飞轮的转速不能太高。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CDB2F9A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7B1992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0F1ED4"/>
    <w:rsid w:val="397A79F8"/>
    <w:rsid w:val="3A417F27"/>
    <w:rsid w:val="3A751F6D"/>
    <w:rsid w:val="3AFB06C4"/>
    <w:rsid w:val="3B2A71FC"/>
    <w:rsid w:val="3B47390A"/>
    <w:rsid w:val="3B9308FD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542</Characters>
  <Lines>0</Lines>
  <Paragraphs>0</Paragraphs>
  <TotalTime>0</TotalTime>
  <ScaleCrop>false</ScaleCrop>
  <LinksUpToDate>false</LinksUpToDate>
  <CharactersWithSpaces>616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